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Times New Roman" w:hAnsi="Times New Roman" w:eastAsia="宋体" w:cs="宋体"/>
          <w:kern w:val="0"/>
          <w:szCs w:val="32"/>
        </w:rPr>
      </w:pPr>
    </w:p>
    <w:p>
      <w:pPr>
        <w:spacing w:line="560" w:lineRule="exact"/>
        <w:rPr>
          <w:rFonts w:ascii="Times New Roman" w:hAnsi="Times New Roman" w:eastAsia="宋体" w:cs="宋体"/>
          <w:kern w:val="0"/>
          <w:szCs w:val="32"/>
        </w:rPr>
      </w:pPr>
    </w:p>
    <w:p>
      <w:pPr>
        <w:spacing w:line="560" w:lineRule="exact"/>
        <w:jc w:val="center"/>
        <w:rPr>
          <w:rFonts w:ascii="Times New Roman" w:hAnsi="Times New Roman" w:eastAsia="宋体" w:cs="宋体"/>
          <w:kern w:val="0"/>
          <w:sz w:val="44"/>
          <w:szCs w:val="44"/>
        </w:rPr>
      </w:pPr>
      <w:r>
        <w:rPr>
          <w:rFonts w:hint="eastAsia" w:ascii="Times New Roman" w:hAnsi="Times New Roman" w:eastAsia="宋体" w:cs="宋体"/>
          <w:kern w:val="0"/>
          <w:sz w:val="44"/>
          <w:szCs w:val="44"/>
        </w:rPr>
        <w:t>全国人民代表大会常务委员会</w:t>
      </w:r>
    </w:p>
    <w:p>
      <w:pPr>
        <w:spacing w:line="560" w:lineRule="exact"/>
        <w:jc w:val="center"/>
        <w:rPr>
          <w:rFonts w:hint="eastAsia" w:ascii="Times New Roman" w:hAnsi="Times New Roman" w:eastAsia="宋体" w:cs="宋体"/>
          <w:kern w:val="0"/>
          <w:sz w:val="44"/>
          <w:szCs w:val="44"/>
        </w:rPr>
      </w:pPr>
      <w:r>
        <w:rPr>
          <w:rFonts w:hint="eastAsia" w:ascii="Times New Roman" w:hAnsi="Times New Roman" w:eastAsia="宋体" w:cs="宋体"/>
          <w:kern w:val="0"/>
          <w:sz w:val="44"/>
          <w:szCs w:val="44"/>
        </w:rPr>
        <w:t>关于《中华人民共和国刑法》</w:t>
      </w:r>
    </w:p>
    <w:p>
      <w:pPr>
        <w:spacing w:line="560" w:lineRule="exact"/>
        <w:jc w:val="center"/>
        <w:rPr>
          <w:rFonts w:ascii="Times New Roman" w:hAnsi="Times New Roman" w:eastAsia="宋体" w:cs="宋体"/>
          <w:kern w:val="0"/>
          <w:sz w:val="44"/>
          <w:szCs w:val="44"/>
        </w:rPr>
      </w:pPr>
      <w:r>
        <w:rPr>
          <w:rFonts w:hint="eastAsia" w:ascii="Times New Roman" w:hAnsi="Times New Roman" w:eastAsia="宋体" w:cs="宋体"/>
          <w:kern w:val="0"/>
          <w:sz w:val="44"/>
          <w:szCs w:val="44"/>
        </w:rPr>
        <w:t>第三百</w:t>
      </w:r>
      <w:bookmarkStart w:name="_GoBack" w:id="0"/>
      <w:bookmarkEnd w:id="0"/>
      <w:r>
        <w:rPr>
          <w:rFonts w:hint="eastAsia" w:ascii="Times New Roman" w:hAnsi="Times New Roman" w:eastAsia="宋体" w:cs="宋体"/>
          <w:kern w:val="0"/>
          <w:sz w:val="44"/>
          <w:szCs w:val="44"/>
        </w:rPr>
        <w:t>一十三条的解释</w:t>
      </w:r>
    </w:p>
    <w:p>
      <w:pPr>
        <w:spacing w:line="560" w:lineRule="exact"/>
        <w:rPr>
          <w:rFonts w:ascii="Times New Roman" w:hAnsi="Times New Roman" w:eastAsia="宋体" w:cs="宋体"/>
          <w:kern w:val="0"/>
          <w:szCs w:val="32"/>
        </w:rPr>
      </w:pPr>
    </w:p>
    <w:p>
      <w:pPr>
        <w:spacing w:line="560" w:lineRule="exact"/>
        <w:ind w:left="640" w:leftChars="200" w:right="640" w:rightChars="200"/>
        <w:rPr>
          <w:rFonts w:ascii="Times New Roman" w:hAnsi="Times New Roman" w:eastAsia="楷体_GB2312" w:cs="楷体_GB2312"/>
          <w:kern w:val="0"/>
          <w:szCs w:val="32"/>
        </w:rPr>
      </w:pPr>
      <w:r>
        <w:rPr>
          <w:rFonts w:hint="eastAsia" w:ascii="Times New Roman" w:hAnsi="Times New Roman" w:eastAsia="楷体_GB2312" w:cs="楷体_GB2312"/>
          <w:kern w:val="0"/>
          <w:szCs w:val="32"/>
        </w:rPr>
        <w:t>（2002年8月29日第九届全国人民代表大会常务委员会第二十九次会议通过）</w:t>
      </w:r>
    </w:p>
    <w:p>
      <w:pPr>
        <w:spacing w:line="560" w:lineRule="exact"/>
        <w:rPr>
          <w:rFonts w:ascii="Times New Roman" w:hAnsi="Times New Roman" w:eastAsia="宋体" w:cs="宋体"/>
          <w:kern w:val="0"/>
          <w:szCs w:val="32"/>
        </w:rPr>
      </w:pPr>
    </w:p>
    <w:p>
      <w:pPr>
        <w:spacing w:line="560" w:lineRule="exact"/>
        <w:rPr>
          <w:rFonts w:ascii="Times New Roman" w:hAnsi="Times New Roman" w:cs="Arial"/>
          <w:kern w:val="0"/>
          <w:szCs w:val="32"/>
        </w:rPr>
      </w:pPr>
      <w:r>
        <w:rPr>
          <w:rFonts w:hint="eastAsia" w:ascii="Times New Roman" w:hAnsi="Times New Roman" w:cs="Arial"/>
          <w:kern w:val="0"/>
          <w:szCs w:val="32"/>
        </w:rPr>
        <w:t>　　全国人民代表大会常务委员会讨论了刑法第三百一十三条规定的“对人民法院的判决、裁定有能力执行而拒不执行，情节严重”的含义问题，解释如下：</w:t>
      </w:r>
    </w:p>
    <w:p>
      <w:pPr>
        <w:spacing w:line="560" w:lineRule="exact"/>
        <w:rPr>
          <w:rFonts w:ascii="Times New Roman" w:hAnsi="Times New Roman" w:cs="Arial"/>
          <w:kern w:val="0"/>
          <w:szCs w:val="32"/>
        </w:rPr>
      </w:pPr>
      <w:r>
        <w:rPr>
          <w:rFonts w:hint="eastAsia" w:ascii="Times New Roman" w:hAnsi="Times New Roman" w:cs="Arial"/>
          <w:kern w:val="0"/>
          <w:szCs w:val="32"/>
        </w:rPr>
        <w:t>　　刑法第三百一十三条规定的“人民法院的判决、裁定”，是指人民法院依法作出的具有执行内容并已发生法律效力的判决、裁定。人民法院为依法执行支付令、生效的调解书、仲裁裁决、公证债权文书等所作的裁定属于该条规定的裁定。</w:t>
      </w:r>
    </w:p>
    <w:p>
      <w:pPr>
        <w:spacing w:line="560" w:lineRule="exact"/>
        <w:rPr>
          <w:rFonts w:ascii="Times New Roman" w:hAnsi="Times New Roman" w:cs="Arial"/>
          <w:kern w:val="0"/>
          <w:szCs w:val="32"/>
        </w:rPr>
      </w:pPr>
      <w:r>
        <w:rPr>
          <w:rFonts w:hint="eastAsia" w:ascii="Times New Roman" w:hAnsi="Times New Roman" w:cs="Arial"/>
          <w:kern w:val="0"/>
          <w:szCs w:val="32"/>
        </w:rPr>
        <w:t>　　下列情形属于刑法第三百一十三条规定的“有能力执行而拒不执行，情节严重”的情形：</w:t>
      </w:r>
    </w:p>
    <w:p>
      <w:pPr>
        <w:spacing w:line="560" w:lineRule="exact"/>
        <w:rPr>
          <w:rFonts w:ascii="Times New Roman" w:hAnsi="Times New Roman" w:cs="Arial"/>
          <w:kern w:val="0"/>
          <w:szCs w:val="32"/>
        </w:rPr>
      </w:pPr>
      <w:r>
        <w:rPr>
          <w:rFonts w:hint="eastAsia" w:ascii="Times New Roman" w:hAnsi="Times New Roman" w:cs="Arial"/>
          <w:kern w:val="0"/>
          <w:szCs w:val="32"/>
        </w:rPr>
        <w:t>　　（一）被执行人隐藏、转移、故意毁损财产或者无偿转让财产、以明显不合理的低价转让财产，致使判决、裁定无法执行的；</w:t>
      </w:r>
    </w:p>
    <w:p>
      <w:pPr>
        <w:spacing w:line="560" w:lineRule="exact"/>
        <w:rPr>
          <w:rFonts w:ascii="Times New Roman" w:hAnsi="Times New Roman" w:cs="Arial"/>
          <w:kern w:val="0"/>
          <w:szCs w:val="32"/>
        </w:rPr>
      </w:pPr>
      <w:r>
        <w:rPr>
          <w:rFonts w:hint="eastAsia" w:ascii="Times New Roman" w:hAnsi="Times New Roman" w:cs="Arial"/>
          <w:kern w:val="0"/>
          <w:szCs w:val="32"/>
        </w:rPr>
        <w:t>　　（二）担保人或者被执行人隐藏、转移、故意毁损或者转让已向人民法院提供担保的财产，致使判决、裁定无法执行的；</w:t>
      </w:r>
    </w:p>
    <w:p>
      <w:pPr>
        <w:spacing w:line="560" w:lineRule="exact"/>
        <w:rPr>
          <w:rFonts w:ascii="Times New Roman" w:hAnsi="Times New Roman" w:cs="Arial"/>
          <w:kern w:val="0"/>
          <w:szCs w:val="32"/>
        </w:rPr>
      </w:pPr>
      <w:r>
        <w:rPr>
          <w:rFonts w:hint="eastAsia" w:ascii="Times New Roman" w:hAnsi="Times New Roman" w:cs="Arial"/>
          <w:kern w:val="0"/>
          <w:szCs w:val="32"/>
        </w:rPr>
        <w:t>　　（三）协助执行义务人接到人民法院协助执行通知书后，拒不协助执行，致使判决、裁定无法执行的；</w:t>
      </w:r>
    </w:p>
    <w:p>
      <w:pPr>
        <w:spacing w:line="560" w:lineRule="exact"/>
        <w:rPr>
          <w:rFonts w:ascii="Times New Roman" w:hAnsi="Times New Roman" w:cs="Arial"/>
          <w:kern w:val="0"/>
          <w:szCs w:val="32"/>
        </w:rPr>
      </w:pPr>
      <w:r>
        <w:rPr>
          <w:rFonts w:hint="eastAsia" w:ascii="Times New Roman" w:hAnsi="Times New Roman" w:cs="Arial"/>
          <w:kern w:val="0"/>
          <w:szCs w:val="32"/>
        </w:rPr>
        <w:t>　　（四）被执行人、担保人、协助执行义务人与国家机关工作人员通谋，利用国家机关工作人员的职权妨害执行，致使判决、裁定无法执行的；</w:t>
      </w:r>
    </w:p>
    <w:p>
      <w:pPr>
        <w:spacing w:line="560" w:lineRule="exact"/>
        <w:rPr>
          <w:rFonts w:ascii="Times New Roman" w:hAnsi="Times New Roman" w:cs="Arial"/>
          <w:kern w:val="0"/>
          <w:szCs w:val="32"/>
        </w:rPr>
      </w:pPr>
      <w:r>
        <w:rPr>
          <w:rFonts w:hint="eastAsia" w:ascii="Times New Roman" w:hAnsi="Times New Roman" w:cs="Arial"/>
          <w:kern w:val="0"/>
          <w:szCs w:val="32"/>
        </w:rPr>
        <w:t>　　（五）其他有能力执行而拒不执行，情节严重的情形。</w:t>
      </w:r>
    </w:p>
    <w:p>
      <w:pPr>
        <w:spacing w:line="560" w:lineRule="exact"/>
        <w:rPr>
          <w:rFonts w:ascii="Times New Roman" w:hAnsi="Times New Roman" w:cs="Arial"/>
          <w:kern w:val="0"/>
          <w:szCs w:val="32"/>
        </w:rPr>
      </w:pPr>
      <w:r>
        <w:rPr>
          <w:rFonts w:hint="eastAsia" w:ascii="Times New Roman" w:hAnsi="Times New Roman" w:cs="Arial"/>
          <w:kern w:val="0"/>
          <w:szCs w:val="32"/>
        </w:rPr>
        <w:t>　　国家机关工作人员有上述第四项行为的，以拒不执行判决、裁定罪的共犯追究刑事责任。国家机关工作人员收受贿赂或者滥用职权，有上述第四项行为的，同时又构成刑法第三百八十五条、第三百九十七条规定之罪的，依照处罚较重的规定定罪处罚。</w:t>
      </w:r>
    </w:p>
    <w:p>
      <w:pPr>
        <w:spacing w:line="560" w:lineRule="exact"/>
        <w:rPr>
          <w:rFonts w:ascii="Times New Roman" w:hAnsi="Times New Roman" w:cs="Arial"/>
          <w:kern w:val="0"/>
          <w:szCs w:val="32"/>
        </w:rPr>
      </w:pPr>
      <w:r>
        <w:rPr>
          <w:rFonts w:hint="eastAsia" w:ascii="Times New Roman" w:hAnsi="Times New Roman" w:cs="Arial"/>
          <w:kern w:val="0"/>
          <w:szCs w:val="32"/>
        </w:rPr>
        <w:t>　　现予公告。</w:t>
      </w:r>
    </w:p>
    <w:sectPr>
      <w:headerReference w:type="default" r:id="rId3"/>
      <w:footerReference w:type="default" r:id="rId5"/>
      <w:headerReference w:type="even" r:id="rId4"/>
      <w:footerReference w:type="even" r:id="rId6"/>
      <w:pgSz w:w="11850" w:h="16783"/>
      <w:pgMar w:top="2098" w:right="1417" w:bottom="1928" w:left="1587" w:header="851" w:footer="1253" w:gutter="0"/>
      <w:pgNumType w:start="1"/>
      <w:cols w:space="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4778375</wp:posOffset>
              </wp:positionH>
              <wp:positionV relativeFrom="paragraph">
                <wp:posOffset>0</wp:posOffset>
              </wp:positionV>
              <wp:extent cx="80264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0264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wordWrap w:val="0"/>
                            <w:jc w:val="right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　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76.25pt;margin-top:0pt;height:144pt;width:63.2pt;mso-position-horizontal-relative:margin;z-index:251658240;mso-width-relative:page;mso-height-relative:page;" filled="f" stroked="f" coordsize="21600,21600" o:gfxdata="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jQ6cpdYAAAAIAQAADwAAAAAAAAAB&#10;ACAAAAAiAAAAZHJzL2Rvd25yZXYueG1sUEsBAhQAFAAAAAgAh07iQHmETB8SAgAACAQAAA4AAAAA&#10;AAAAAQAgAAAAJQEAAGRycy9lMm9Eb2MueG1sUEsFBgAAAAAGAAYAWQEAAK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wordWrap w:val="0"/>
                      <w:jc w:val="right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　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　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0lY7tAAAAAFAQAADwAAAAAAAAABACAAAAAiAAAA&#10;ZHJzL2Rvd25yZXYueG1sUEsBAhQAFAAAAAgAh07iQHP4ZNkPAgAABwQAAA4AAAAAAAAAAQAgAAAA&#10;HwEAAGRycy9lMm9Eb2MueG1sUEsFBgAAAAAGAAYAWQEAAKA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　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25414"/>
    <w:multiLevelType w:val="multilevel"/>
    <w:tmpl w:val="49D25414"/>
    <w:lvl w:ilvl="0" w:tentative="0">
      <w:start w:val="1"/>
      <w:numFmt w:val="decimal"/>
      <w:lvlText w:val="%1"/>
      <w:lvlJc w:val="left"/>
      <w:pPr>
        <w:ind w:left="425" w:hanging="425"/>
      </w:pPr>
    </w:lvl>
    <w:lvl w:ilvl="1" w:tentative="0">
      <w:start w:val="1"/>
      <w:numFmt w:val="decimal"/>
      <w:pStyle w:val="22"/>
      <w:lvlText w:val="%1.%2"/>
      <w:lvlJc w:val="left"/>
      <w:pPr>
        <w:ind w:left="992" w:hanging="567"/>
      </w:pPr>
    </w:lvl>
    <w:lvl w:ilvl="2" w:tentative="0">
      <w:start w:val="1"/>
      <w:numFmt w:val="decimal"/>
      <w:lvlText w:val="%1.%2.%3"/>
      <w:lvlJc w:val="left"/>
      <w:pPr>
        <w:ind w:left="1418" w:hanging="567"/>
      </w:pPr>
    </w:lvl>
    <w:lvl w:ilvl="3" w:tentative="0">
      <w:start w:val="1"/>
      <w:numFmt w:val="decimal"/>
      <w:lvlText w:val="%1.%2.%3.%4"/>
      <w:lvlJc w:val="left"/>
      <w:pPr>
        <w:ind w:left="1984" w:hanging="708"/>
      </w:pPr>
    </w:lvl>
    <w:lvl w:ilvl="4" w:tentative="0">
      <w:start w:val="1"/>
      <w:numFmt w:val="decimal"/>
      <w:lvlText w:val="%1.%2.%3.%4.%5"/>
      <w:lvlJc w:val="left"/>
      <w:pPr>
        <w:ind w:left="2551" w:hanging="850"/>
      </w:pPr>
    </w:lvl>
    <w:lvl w:ilvl="5" w:tentative="0">
      <w:start w:val="1"/>
      <w:numFmt w:val="decimal"/>
      <w:lvlText w:val="%1.%2.%3.%4.%5.%6"/>
      <w:lvlJc w:val="left"/>
      <w:pPr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evenAndOddHeaders w:val="1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FF2"/>
    <w:rsid w:val="000408C7"/>
    <w:rsid w:val="00047741"/>
    <w:rsid w:val="0005018B"/>
    <w:rsid w:val="00062E6C"/>
    <w:rsid w:val="000778B0"/>
    <w:rsid w:val="000803E8"/>
    <w:rsid w:val="000A6734"/>
    <w:rsid w:val="000E7366"/>
    <w:rsid w:val="001033D0"/>
    <w:rsid w:val="00125D8F"/>
    <w:rsid w:val="00130DFD"/>
    <w:rsid w:val="00152F70"/>
    <w:rsid w:val="0017628A"/>
    <w:rsid w:val="001A2752"/>
    <w:rsid w:val="001A3C91"/>
    <w:rsid w:val="001A5F92"/>
    <w:rsid w:val="001D6F2E"/>
    <w:rsid w:val="001E2657"/>
    <w:rsid w:val="002070BD"/>
    <w:rsid w:val="0021593C"/>
    <w:rsid w:val="00233C4A"/>
    <w:rsid w:val="002407D9"/>
    <w:rsid w:val="00277DE5"/>
    <w:rsid w:val="00297298"/>
    <w:rsid w:val="002979E0"/>
    <w:rsid w:val="002A3EF0"/>
    <w:rsid w:val="002F7DF8"/>
    <w:rsid w:val="00304A84"/>
    <w:rsid w:val="00320296"/>
    <w:rsid w:val="00341FBF"/>
    <w:rsid w:val="00361106"/>
    <w:rsid w:val="003870B2"/>
    <w:rsid w:val="00405342"/>
    <w:rsid w:val="0041162C"/>
    <w:rsid w:val="004B29FD"/>
    <w:rsid w:val="004B5AED"/>
    <w:rsid w:val="004E0129"/>
    <w:rsid w:val="004E3F7A"/>
    <w:rsid w:val="004F3FA8"/>
    <w:rsid w:val="004F682B"/>
    <w:rsid w:val="005521DE"/>
    <w:rsid w:val="005866F9"/>
    <w:rsid w:val="00597FF0"/>
    <w:rsid w:val="005B4D16"/>
    <w:rsid w:val="005C6A1B"/>
    <w:rsid w:val="005E5EEF"/>
    <w:rsid w:val="006125B7"/>
    <w:rsid w:val="0061561D"/>
    <w:rsid w:val="006208B2"/>
    <w:rsid w:val="00661B2B"/>
    <w:rsid w:val="006858D8"/>
    <w:rsid w:val="006B016C"/>
    <w:rsid w:val="006B487D"/>
    <w:rsid w:val="006B7880"/>
    <w:rsid w:val="0079691A"/>
    <w:rsid w:val="00831E9A"/>
    <w:rsid w:val="008A5502"/>
    <w:rsid w:val="008D5D88"/>
    <w:rsid w:val="008F69CD"/>
    <w:rsid w:val="00900D1F"/>
    <w:rsid w:val="00902FF2"/>
    <w:rsid w:val="009857B2"/>
    <w:rsid w:val="00996A63"/>
    <w:rsid w:val="009D7B72"/>
    <w:rsid w:val="009E6421"/>
    <w:rsid w:val="009E6A54"/>
    <w:rsid w:val="00A122B2"/>
    <w:rsid w:val="00A227B8"/>
    <w:rsid w:val="00A265F6"/>
    <w:rsid w:val="00A30678"/>
    <w:rsid w:val="00A54E5C"/>
    <w:rsid w:val="00AC1677"/>
    <w:rsid w:val="00AF3EA3"/>
    <w:rsid w:val="00B116B4"/>
    <w:rsid w:val="00B146D8"/>
    <w:rsid w:val="00B2651A"/>
    <w:rsid w:val="00B30D5E"/>
    <w:rsid w:val="00B5205C"/>
    <w:rsid w:val="00B86404"/>
    <w:rsid w:val="00B95A4E"/>
    <w:rsid w:val="00B9697E"/>
    <w:rsid w:val="00BD4FD8"/>
    <w:rsid w:val="00BD5ABA"/>
    <w:rsid w:val="00C066A8"/>
    <w:rsid w:val="00CE5247"/>
    <w:rsid w:val="00D52974"/>
    <w:rsid w:val="00D54AF3"/>
    <w:rsid w:val="00D54B93"/>
    <w:rsid w:val="00D70A89"/>
    <w:rsid w:val="00D76CB4"/>
    <w:rsid w:val="00D84514"/>
    <w:rsid w:val="00DC5C43"/>
    <w:rsid w:val="00DD0B8B"/>
    <w:rsid w:val="00E235DD"/>
    <w:rsid w:val="00E64956"/>
    <w:rsid w:val="00EE4F6D"/>
    <w:rsid w:val="00F00D39"/>
    <w:rsid w:val="00FA3C68"/>
    <w:rsid w:val="00FC68C1"/>
    <w:rsid w:val="04FF18B9"/>
    <w:rsid w:val="08210A6D"/>
    <w:rsid w:val="09CF1306"/>
    <w:rsid w:val="0B957AC8"/>
    <w:rsid w:val="0C4E6F56"/>
    <w:rsid w:val="0D2F2A95"/>
    <w:rsid w:val="185F7CCA"/>
    <w:rsid w:val="19F86B68"/>
    <w:rsid w:val="1BF04FBD"/>
    <w:rsid w:val="2F7753E6"/>
    <w:rsid w:val="3258761C"/>
    <w:rsid w:val="44BC0EEC"/>
    <w:rsid w:val="482A39F4"/>
    <w:rsid w:val="56755F92"/>
    <w:rsid w:val="653A70E2"/>
    <w:rsid w:val="6C1E17DE"/>
    <w:rsid w:val="7240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27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1"/>
    <w:qFormat/>
    <w:uiPriority w:val="9"/>
    <w:pPr>
      <w:keepNext/>
      <w:keepLines/>
      <w:spacing w:before="260" w:after="260" w:line="416" w:lineRule="auto"/>
      <w:ind w:firstLine="200" w:firstLineChars="200"/>
      <w:jc w:val="left"/>
      <w:outlineLvl w:val="1"/>
    </w:pPr>
    <w:rPr>
      <w:rFonts w:ascii="Cambria" w:hAnsi="Cambria" w:eastAsia="宋体"/>
      <w:b/>
      <w:bCs/>
      <w:szCs w:val="32"/>
    </w:rPr>
  </w:style>
  <w:style w:type="paragraph" w:styleId="4">
    <w:name w:val="heading 3"/>
    <w:basedOn w:val="1"/>
    <w:next w:val="1"/>
    <w:link w:val="30"/>
    <w:qFormat/>
    <w:uiPriority w:val="0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ocument Map"/>
    <w:basedOn w:val="1"/>
    <w:semiHidden/>
    <w:qFormat/>
    <w:uiPriority w:val="0"/>
    <w:pPr>
      <w:shd w:val="clear" w:color="auto" w:fill="000080"/>
    </w:pPr>
  </w:style>
  <w:style w:type="paragraph" w:styleId="6">
    <w:name w:val="Plain Text"/>
    <w:basedOn w:val="1"/>
    <w:link w:val="24"/>
    <w:unhideWhenUsed/>
    <w:qFormat/>
    <w:uiPriority w:val="99"/>
    <w:rPr>
      <w:rFonts w:ascii="宋体" w:hAnsi="Courier New" w:eastAsia="宋体"/>
      <w:sz w:val="21"/>
      <w:szCs w:val="21"/>
    </w:r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3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39"/>
  </w:style>
  <w:style w:type="paragraph" w:styleId="11">
    <w:name w:val="Subtitle"/>
    <w:basedOn w:val="1"/>
    <w:next w:val="1"/>
    <w:link w:val="26"/>
    <w:qFormat/>
    <w:uiPriority w:val="0"/>
    <w:pPr>
      <w:spacing w:before="240" w:after="60" w:line="312" w:lineRule="auto"/>
      <w:jc w:val="center"/>
      <w:outlineLvl w:val="1"/>
    </w:pPr>
    <w:rPr>
      <w:rFonts w:ascii="Cambria" w:hAnsi="Cambria" w:eastAsia="宋体"/>
      <w:b/>
      <w:bCs/>
      <w:kern w:val="28"/>
      <w:szCs w:val="32"/>
    </w:rPr>
  </w:style>
  <w:style w:type="paragraph" w:styleId="12">
    <w:name w:val="toc 2"/>
    <w:basedOn w:val="1"/>
    <w:next w:val="1"/>
    <w:qFormat/>
    <w:uiPriority w:val="39"/>
    <w:pPr>
      <w:ind w:left="420" w:leftChars="200"/>
    </w:pPr>
  </w:style>
  <w:style w:type="paragraph" w:styleId="13">
    <w:name w:val="Title"/>
    <w:basedOn w:val="1"/>
    <w:next w:val="1"/>
    <w:link w:val="28"/>
    <w:qFormat/>
    <w:uiPriority w:val="0"/>
    <w:pPr>
      <w:spacing w:before="240" w:after="60"/>
      <w:jc w:val="center"/>
      <w:outlineLvl w:val="0"/>
    </w:pPr>
    <w:rPr>
      <w:rFonts w:ascii="Cambria" w:hAnsi="Cambria" w:eastAsia="宋体"/>
      <w:b/>
      <w:bCs/>
      <w:szCs w:val="32"/>
    </w:rPr>
  </w:style>
  <w:style w:type="character" w:styleId="15">
    <w:name w:val="Strong"/>
    <w:qFormat/>
    <w:uiPriority w:val="0"/>
    <w:rPr>
      <w:b/>
      <w:bCs/>
    </w:rPr>
  </w:style>
  <w:style w:type="character" w:styleId="16">
    <w:name w:val="page number"/>
    <w:basedOn w:val="14"/>
    <w:qFormat/>
    <w:uiPriority w:val="0"/>
  </w:style>
  <w:style w:type="character" w:styleId="17">
    <w:name w:val="FollowedHyperlink"/>
    <w:qFormat/>
    <w:uiPriority w:val="0"/>
    <w:rPr>
      <w:color w:val="800080"/>
      <w:u w:val="single"/>
    </w:rPr>
  </w:style>
  <w:style w:type="character" w:styleId="18">
    <w:name w:val="Emphasis"/>
    <w:qFormat/>
    <w:uiPriority w:val="0"/>
    <w:rPr>
      <w:i/>
      <w:iCs/>
    </w:rPr>
  </w:style>
  <w:style w:type="character" w:styleId="19">
    <w:name w:val="Hyperlink"/>
    <w:qFormat/>
    <w:uiPriority w:val="99"/>
    <w:rPr>
      <w:rFonts w:hint="default" w:ascii="ˎ̥" w:hAnsi="ˎ̥"/>
      <w:color w:val="0404B3"/>
      <w:sz w:val="18"/>
      <w:szCs w:val="18"/>
      <w:u w:val="none"/>
    </w:rPr>
  </w:style>
  <w:style w:type="paragraph" w:customStyle="1" w:styleId="21">
    <w:name w:val="_Style 20"/>
    <w:basedOn w:val="2"/>
    <w:next w:val="1"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 w:eastAsia="宋体"/>
      <w:color w:val="365F91"/>
      <w:kern w:val="0"/>
      <w:sz w:val="28"/>
      <w:szCs w:val="28"/>
    </w:rPr>
  </w:style>
  <w:style w:type="paragraph" w:customStyle="1" w:styleId="22">
    <w:name w:val="1.1"/>
    <w:basedOn w:val="4"/>
    <w:link w:val="29"/>
    <w:qFormat/>
    <w:uiPriority w:val="0"/>
    <w:pPr>
      <w:numPr>
        <w:ilvl w:val="1"/>
        <w:numId w:val="1"/>
      </w:numPr>
      <w:ind w:firstLine="0"/>
      <w:jc w:val="left"/>
    </w:pPr>
    <w:rPr>
      <w:rFonts w:ascii="Calibri" w:hAnsi="Calibri" w:eastAsia="宋体"/>
      <w:sz w:val="30"/>
    </w:rPr>
  </w:style>
  <w:style w:type="character" w:customStyle="1" w:styleId="23">
    <w:name w:val="页眉 Char"/>
    <w:link w:val="9"/>
    <w:qFormat/>
    <w:uiPriority w:val="99"/>
    <w:rPr>
      <w:rFonts w:eastAsia="仿宋_GB2312"/>
      <w:kern w:val="2"/>
      <w:sz w:val="18"/>
      <w:szCs w:val="18"/>
    </w:rPr>
  </w:style>
  <w:style w:type="character" w:customStyle="1" w:styleId="24">
    <w:name w:val="纯文本 Char"/>
    <w:link w:val="6"/>
    <w:qFormat/>
    <w:uiPriority w:val="99"/>
    <w:rPr>
      <w:rFonts w:ascii="宋体" w:hAnsi="Courier New" w:cs="Courier New"/>
      <w:kern w:val="2"/>
      <w:sz w:val="21"/>
      <w:szCs w:val="21"/>
    </w:rPr>
  </w:style>
  <w:style w:type="character" w:customStyle="1" w:styleId="25">
    <w:name w:val="纯文本 Char1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26">
    <w:name w:val="副标题 Char"/>
    <w:link w:val="11"/>
    <w:qFormat/>
    <w:uiPriority w:val="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27">
    <w:name w:val="标题 1 Char"/>
    <w:link w:val="2"/>
    <w:qFormat/>
    <w:uiPriority w:val="0"/>
    <w:rPr>
      <w:rFonts w:eastAsia="仿宋_GB2312"/>
      <w:b/>
      <w:bCs/>
      <w:kern w:val="44"/>
      <w:sz w:val="44"/>
      <w:szCs w:val="44"/>
    </w:rPr>
  </w:style>
  <w:style w:type="character" w:customStyle="1" w:styleId="28">
    <w:name w:val="标题 Char"/>
    <w:link w:val="13"/>
    <w:qFormat/>
    <w:uiPriority w:val="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29">
    <w:name w:val="1.1 Char"/>
    <w:link w:val="22"/>
    <w:qFormat/>
    <w:uiPriority w:val="0"/>
    <w:rPr>
      <w:rFonts w:ascii="Calibri" w:hAnsi="Calibri"/>
      <w:b/>
      <w:bCs/>
      <w:kern w:val="2"/>
      <w:sz w:val="30"/>
      <w:szCs w:val="32"/>
    </w:rPr>
  </w:style>
  <w:style w:type="character" w:customStyle="1" w:styleId="30">
    <w:name w:val="标题 3 Char"/>
    <w:link w:val="4"/>
    <w:semiHidden/>
    <w:qFormat/>
    <w:uiPriority w:val="0"/>
    <w:rPr>
      <w:rFonts w:eastAsia="仿宋_GB2312"/>
      <w:b/>
      <w:bCs/>
      <w:kern w:val="2"/>
      <w:sz w:val="32"/>
      <w:szCs w:val="32"/>
    </w:rPr>
  </w:style>
  <w:style w:type="character" w:customStyle="1" w:styleId="31">
    <w:name w:val="标题 2 Char"/>
    <w:link w:val="3"/>
    <w:qFormat/>
    <w:uiPriority w:val="9"/>
    <w:rPr>
      <w:rFonts w:ascii="Cambria" w:hAnsi="Cambria"/>
      <w:b/>
      <w:bCs/>
      <w:kern w:val="2"/>
      <w:sz w:val="32"/>
      <w:szCs w:val="32"/>
    </w:rPr>
  </w:style>
  <w:style w:type="character" w:customStyle="1" w:styleId="32">
    <w:name w:val="页脚 Char"/>
    <w:link w:val="8"/>
    <w:qFormat/>
    <w:uiPriority w:val="99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100</Words>
  <Characters>575</Characters>
  <Lines>4</Lines>
  <Paragraphs>1</Paragraphs>
  <TotalTime>60</TotalTime>
  <ScaleCrop>false</ScaleCrop>
  <LinksUpToDate>false</LinksUpToDate>
  <CharactersWithSpaces>674</CharactersWithSpaces>
  <Application>WPS Office_10.1.0.7671_F1E327BC-269C-435d-A152-05C5408002CA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2016-10-19T07:39:00Z</dcterms:created>
  <dc:creator>Lenovo</dc:creator>
  <cp:lastModifiedBy>lenovo</cp:lastModifiedBy>
  <cp:lastPrinted>2016-11-15T16:26:00Z</cp:lastPrinted>
  <dcterms:modified xsi:type="dcterms:W3CDTF">2018-11-28T07:07:49Z</dcterms:modified>
  <dc:title>法规修改决定电子报备格式标准及示例</dc:title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2052-10.1.0.7671</vt:lpwstr>
  </property>
</Properties>
</file>